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6162" w14:textId="77777777" w:rsidR="00EF18B4" w:rsidRPr="00681BE9" w:rsidRDefault="00EF18B4" w:rsidP="00EF18B4">
      <w:pPr>
        <w:jc w:val="center"/>
        <w:rPr>
          <w:sz w:val="22"/>
        </w:rPr>
      </w:pPr>
    </w:p>
    <w:tbl>
      <w:tblPr>
        <w:tblStyle w:val="Grilledutableau"/>
        <w:tblW w:w="1049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4218"/>
        <w:gridCol w:w="2976"/>
      </w:tblGrid>
      <w:tr w:rsidR="00EF18B4" w14:paraId="367B093F" w14:textId="77777777" w:rsidTr="00C37BE5">
        <w:tc>
          <w:tcPr>
            <w:tcW w:w="3296" w:type="dxa"/>
          </w:tcPr>
          <w:p w14:paraId="50C89C1B" w14:textId="77777777" w:rsidR="00EF18B4" w:rsidRDefault="00EF18B4" w:rsidP="00C37BE5">
            <w:pPr>
              <w:rPr>
                <w:rFonts w:ascii="Arial Narrow" w:hAnsi="Arial Narrow" w:cs="Arial"/>
              </w:rPr>
            </w:pPr>
            <w:r>
              <w:rPr>
                <w:noProof/>
              </w:rPr>
              <w:drawing>
                <wp:anchor distT="0" distB="0" distL="114300" distR="114300" simplePos="0" relativeHeight="251659264" behindDoc="0" locked="0" layoutInCell="1" allowOverlap="1" wp14:anchorId="67EF9C90" wp14:editId="6E563E6A">
                  <wp:simplePos x="0" y="0"/>
                  <wp:positionH relativeFrom="column">
                    <wp:posOffset>46866</wp:posOffset>
                  </wp:positionH>
                  <wp:positionV relativeFrom="paragraph">
                    <wp:posOffset>118357</wp:posOffset>
                  </wp:positionV>
                  <wp:extent cx="1597660" cy="1396365"/>
                  <wp:effectExtent l="0" t="0" r="2540" b="0"/>
                  <wp:wrapTopAndBottom/>
                  <wp:docPr id="3" name="Image 3" descr="Description : antennenord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antennenordou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7660" cy="1396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8" w:type="dxa"/>
          </w:tcPr>
          <w:p w14:paraId="3B1997CB" w14:textId="77777777" w:rsidR="00EF18B4" w:rsidRPr="00744AEC" w:rsidRDefault="00EF18B4" w:rsidP="00C37BE5">
            <w:pPr>
              <w:pStyle w:val="En-tte"/>
              <w:jc w:val="center"/>
              <w:rPr>
                <w:rFonts w:ascii="Calibri" w:hAnsi="Calibri" w:cs="Calibri"/>
              </w:rPr>
            </w:pPr>
            <w:r w:rsidRPr="003A4089">
              <w:rPr>
                <w:rFonts w:ascii="Calibri" w:hAnsi="Calibri" w:cs="Calibri"/>
                <w:sz w:val="20"/>
                <w:szCs w:val="20"/>
              </w:rPr>
              <w:t>République Française</w:t>
            </w:r>
          </w:p>
        </w:tc>
        <w:tc>
          <w:tcPr>
            <w:tcW w:w="2976" w:type="dxa"/>
          </w:tcPr>
          <w:p w14:paraId="5FE1145F" w14:textId="77777777" w:rsidR="00EF18B4" w:rsidRPr="003A4089" w:rsidRDefault="00EF18B4" w:rsidP="00C37BE5">
            <w:pPr>
              <w:pStyle w:val="Sous-titre"/>
              <w:rPr>
                <w:rFonts w:ascii="Calibri" w:hAnsi="Calibri" w:cs="Calibri"/>
                <w:sz w:val="20"/>
                <w:szCs w:val="24"/>
              </w:rPr>
            </w:pPr>
            <w:r w:rsidRPr="003A4089">
              <w:rPr>
                <w:rFonts w:ascii="Calibri" w:hAnsi="Calibri" w:cs="Calibri"/>
                <w:sz w:val="20"/>
                <w:szCs w:val="24"/>
              </w:rPr>
              <w:t>NOUVELLE-CALÉDONIE</w:t>
            </w:r>
          </w:p>
          <w:p w14:paraId="58D7613E" w14:textId="77777777" w:rsidR="00EF18B4" w:rsidRPr="003A4089" w:rsidRDefault="00EF18B4" w:rsidP="00C37BE5">
            <w:pPr>
              <w:jc w:val="center"/>
              <w:rPr>
                <w:rFonts w:ascii="Calibri" w:hAnsi="Calibri" w:cs="Calibri"/>
                <w:sz w:val="20"/>
              </w:rPr>
            </w:pPr>
            <w:r w:rsidRPr="003A4089">
              <w:rPr>
                <w:rFonts w:ascii="Calibri" w:hAnsi="Calibri" w:cs="Calibri"/>
                <w:sz w:val="20"/>
              </w:rPr>
              <w:t>---</w:t>
            </w:r>
          </w:p>
          <w:p w14:paraId="59BA7478" w14:textId="77777777" w:rsidR="00EF18B4" w:rsidRPr="003A4089" w:rsidRDefault="00EF18B4" w:rsidP="00C37BE5">
            <w:pPr>
              <w:jc w:val="center"/>
              <w:rPr>
                <w:rFonts w:ascii="Calibri" w:hAnsi="Calibri" w:cs="Calibri"/>
                <w:b/>
                <w:bCs/>
                <w:sz w:val="20"/>
              </w:rPr>
            </w:pPr>
            <w:r w:rsidRPr="003A4089">
              <w:rPr>
                <w:rFonts w:ascii="Calibri" w:hAnsi="Calibri" w:cs="Calibri"/>
                <w:b/>
                <w:bCs/>
                <w:sz w:val="20"/>
              </w:rPr>
              <w:t>PROVINCE NORD</w:t>
            </w:r>
          </w:p>
          <w:p w14:paraId="6112FD7A" w14:textId="77777777" w:rsidR="00EF18B4" w:rsidRPr="003A4089" w:rsidRDefault="00EF18B4" w:rsidP="00C37BE5">
            <w:pPr>
              <w:jc w:val="center"/>
              <w:rPr>
                <w:rFonts w:ascii="Calibri" w:hAnsi="Calibri" w:cs="Calibri"/>
                <w:sz w:val="20"/>
              </w:rPr>
            </w:pPr>
            <w:r w:rsidRPr="003A4089">
              <w:rPr>
                <w:rFonts w:ascii="Calibri" w:hAnsi="Calibri" w:cs="Calibri"/>
                <w:sz w:val="20"/>
              </w:rPr>
              <w:t>---</w:t>
            </w:r>
          </w:p>
          <w:p w14:paraId="30932204" w14:textId="77777777" w:rsidR="00EF18B4" w:rsidRPr="003A4089" w:rsidRDefault="00EF18B4" w:rsidP="00C37BE5">
            <w:pPr>
              <w:jc w:val="center"/>
              <w:rPr>
                <w:rFonts w:ascii="Calibri" w:hAnsi="Calibri" w:cs="Calibri"/>
                <w:sz w:val="20"/>
              </w:rPr>
            </w:pPr>
            <w:r w:rsidRPr="003A4089">
              <w:rPr>
                <w:rFonts w:ascii="Calibri" w:hAnsi="Calibri" w:cs="Calibri"/>
                <w:sz w:val="20"/>
              </w:rPr>
              <w:t>B.P. 41 98860 KONÉ</w:t>
            </w:r>
          </w:p>
          <w:p w14:paraId="178CAE20" w14:textId="77777777" w:rsidR="00EF18B4" w:rsidRPr="003A4089" w:rsidRDefault="00EF18B4" w:rsidP="00C37BE5">
            <w:pPr>
              <w:jc w:val="center"/>
              <w:rPr>
                <w:rFonts w:ascii="Calibri" w:hAnsi="Calibri" w:cs="Calibri"/>
                <w:sz w:val="20"/>
              </w:rPr>
            </w:pPr>
            <w:r w:rsidRPr="003A4089">
              <w:rPr>
                <w:rFonts w:ascii="Calibri" w:hAnsi="Calibri" w:cs="Calibri"/>
                <w:sz w:val="20"/>
              </w:rPr>
              <w:t>---</w:t>
            </w:r>
          </w:p>
          <w:p w14:paraId="0B00BDB9" w14:textId="77EB5392" w:rsidR="00EF18B4" w:rsidRPr="006719A7" w:rsidRDefault="00EF18B4" w:rsidP="00C37BE5">
            <w:pPr>
              <w:jc w:val="center"/>
              <w:rPr>
                <w:rFonts w:ascii="Calibri" w:hAnsi="Calibri" w:cs="Calibri"/>
                <w:b/>
                <w:bCs/>
              </w:rPr>
            </w:pPr>
            <w:r w:rsidRPr="006719A7">
              <w:rPr>
                <w:rFonts w:ascii="Calibri" w:hAnsi="Calibri" w:cs="Calibri"/>
                <w:b/>
                <w:bCs/>
                <w:sz w:val="20"/>
                <w:szCs w:val="20"/>
              </w:rPr>
              <w:t>« Direction </w:t>
            </w:r>
            <w:r>
              <w:rPr>
                <w:rFonts w:ascii="Calibri" w:hAnsi="Calibri" w:cs="Calibri"/>
                <w:b/>
                <w:bCs/>
                <w:sz w:val="20"/>
                <w:szCs w:val="20"/>
              </w:rPr>
              <w:t xml:space="preserve">de l’Aménagement et du Foncier </w:t>
            </w:r>
            <w:r w:rsidRPr="006719A7">
              <w:rPr>
                <w:rFonts w:ascii="Calibri" w:hAnsi="Calibri" w:cs="Calibri"/>
                <w:b/>
                <w:bCs/>
                <w:sz w:val="20"/>
                <w:szCs w:val="20"/>
              </w:rPr>
              <w:t>»</w:t>
            </w:r>
          </w:p>
        </w:tc>
      </w:tr>
    </w:tbl>
    <w:p w14:paraId="291E81B7" w14:textId="77777777" w:rsidR="00EF18B4" w:rsidRDefault="00EF18B4" w:rsidP="00EF18B4">
      <w:pPr>
        <w:rPr>
          <w:rFonts w:ascii="Arial Narrow" w:hAnsi="Arial Narrow" w:cs="Arial"/>
        </w:rPr>
      </w:pPr>
    </w:p>
    <w:p w14:paraId="6761C103" w14:textId="1CABE2E2" w:rsidR="00985CED" w:rsidRPr="009D664F" w:rsidRDefault="00985CED" w:rsidP="00985CED">
      <w:r w:rsidRPr="009D664F">
        <w:t>N°</w:t>
      </w:r>
      <w:r>
        <w:t xml:space="preserve"> 6080206 - </w:t>
      </w:r>
      <w:r w:rsidR="00BB14FA">
        <w:t>6</w:t>
      </w:r>
      <w:r w:rsidR="00443051">
        <w:t>6</w:t>
      </w:r>
      <w:r>
        <w:t xml:space="preserve">/2025 </w:t>
      </w:r>
    </w:p>
    <w:p w14:paraId="12631C6E" w14:textId="77777777" w:rsidR="00EF18B4" w:rsidRDefault="00EF18B4" w:rsidP="00EF18B4">
      <w:pPr>
        <w:rPr>
          <w:rFonts w:ascii="Arial Narrow" w:hAnsi="Arial Narrow" w:cs="Arial"/>
        </w:rPr>
      </w:pPr>
    </w:p>
    <w:p w14:paraId="7F465E5B" w14:textId="77777777" w:rsidR="00EF18B4" w:rsidRDefault="00EF18B4" w:rsidP="00EF18B4">
      <w:pPr>
        <w:rPr>
          <w:rFonts w:ascii="Arial Narrow" w:hAnsi="Arial Narrow" w:cs="Arial"/>
        </w:rPr>
      </w:pPr>
    </w:p>
    <w:p w14:paraId="499EC451" w14:textId="77777777" w:rsidR="00EF18B4" w:rsidRDefault="00EF18B4" w:rsidP="00EF18B4">
      <w:pPr>
        <w:rPr>
          <w:rFonts w:ascii="Arial Narrow" w:hAnsi="Arial Narrow" w:cs="Arial"/>
        </w:rPr>
      </w:pPr>
    </w:p>
    <w:p w14:paraId="19397D3B" w14:textId="35015615" w:rsidR="00322CA8" w:rsidRPr="00EF18B4" w:rsidRDefault="00EF18B4" w:rsidP="00EF18B4">
      <w:pPr>
        <w:jc w:val="center"/>
        <w:rPr>
          <w:b/>
          <w:bCs/>
          <w:u w:val="single"/>
        </w:rPr>
      </w:pPr>
      <w:r w:rsidRPr="00EF18B4">
        <w:rPr>
          <w:b/>
          <w:bCs/>
          <w:u w:val="single"/>
        </w:rPr>
        <w:t>FICHE DE BESOINS</w:t>
      </w:r>
    </w:p>
    <w:p w14:paraId="23DB2547" w14:textId="77777777" w:rsidR="00EF18B4" w:rsidRDefault="00EF18B4"/>
    <w:p w14:paraId="38AAE670" w14:textId="77777777" w:rsidR="00074DB9" w:rsidRPr="00074DB9" w:rsidRDefault="00074DB9" w:rsidP="00074DB9">
      <w:pPr>
        <w:keepNext/>
        <w:spacing w:before="40"/>
      </w:pPr>
      <w:r w:rsidRPr="00074DB9">
        <w:t>Durée du contrat de maintenance :</w:t>
      </w:r>
    </w:p>
    <w:p w14:paraId="0F5727C3" w14:textId="5CE85BB0" w:rsidR="00074DB9" w:rsidRPr="00074DB9" w:rsidRDefault="00361246" w:rsidP="00074DB9">
      <w:pPr>
        <w:jc w:val="both"/>
      </w:pPr>
      <w:r>
        <w:t>I</w:t>
      </w:r>
      <w:r w:rsidR="00074DB9" w:rsidRPr="00074DB9">
        <w:t>l vous est demandé de formuler une offre de contrat de maintenance annuel</w:t>
      </w:r>
      <w:r>
        <w:t xml:space="preserve">, pour le groupe électrogène de l’aérodrome de Koumac de marque </w:t>
      </w:r>
      <w:r w:rsidR="009318ED">
        <w:t xml:space="preserve">« SDMO » </w:t>
      </w:r>
      <w:r w:rsidR="003B1315">
        <w:t xml:space="preserve">type A 42.1 L8 C1/4 </w:t>
      </w:r>
      <w:r>
        <w:t xml:space="preserve">d’une puissance de base 35 KVa ayant </w:t>
      </w:r>
      <w:r w:rsidR="009318ED" w:rsidRPr="009318ED">
        <w:rPr>
          <w:color w:val="000000" w:themeColor="text1"/>
        </w:rPr>
        <w:t>774</w:t>
      </w:r>
      <w:r>
        <w:t xml:space="preserve"> heures de fonctionnement.</w:t>
      </w:r>
    </w:p>
    <w:p w14:paraId="1D9D2BD9" w14:textId="77777777" w:rsidR="00074DB9" w:rsidRPr="00074DB9" w:rsidRDefault="00074DB9" w:rsidP="00074DB9">
      <w:pPr>
        <w:jc w:val="both"/>
        <w:rPr>
          <w:color w:val="003572"/>
          <w:lang w:eastAsia="en-US"/>
        </w:rPr>
      </w:pPr>
    </w:p>
    <w:p w14:paraId="31A7ECAA" w14:textId="77777777" w:rsidR="00074DB9" w:rsidRPr="00074DB9" w:rsidRDefault="00074DB9" w:rsidP="00074DB9">
      <w:pPr>
        <w:keepNext/>
        <w:spacing w:before="40"/>
      </w:pPr>
      <w:r w:rsidRPr="00074DB9">
        <w:t>Fréquence des interventions de maintenance préventive :</w:t>
      </w:r>
    </w:p>
    <w:p w14:paraId="122EFE84" w14:textId="6A22E09A" w:rsidR="00074DB9" w:rsidRPr="00074DB9" w:rsidRDefault="00074DB9" w:rsidP="00074DB9">
      <w:pPr>
        <w:jc w:val="both"/>
      </w:pPr>
      <w:r w:rsidRPr="00074DB9">
        <w:t xml:space="preserve">Il s’agit d’assurer une visite </w:t>
      </w:r>
      <w:r w:rsidR="00BB14FA">
        <w:t xml:space="preserve">préventive comprenant la réalisation d’une vidange annuelle du groupe électrogène </w:t>
      </w:r>
      <w:r w:rsidR="00361246">
        <w:t xml:space="preserve">et </w:t>
      </w:r>
      <w:r w:rsidR="00BB14FA">
        <w:t>la</w:t>
      </w:r>
      <w:r w:rsidR="00361246">
        <w:t xml:space="preserve"> vérifi</w:t>
      </w:r>
      <w:r w:rsidR="00BB14FA">
        <w:t>cation de</w:t>
      </w:r>
      <w:r w:rsidR="00361246">
        <w:t xml:space="preserve"> son fonctionnement avec une durée de reprise inférieure à 15 secondes en cas de coupure électrique.</w:t>
      </w:r>
    </w:p>
    <w:p w14:paraId="2FE6CFBE" w14:textId="77777777" w:rsidR="00074DB9" w:rsidRPr="00074DB9" w:rsidRDefault="00074DB9" w:rsidP="00074DB9">
      <w:pPr>
        <w:jc w:val="both"/>
        <w:rPr>
          <w:color w:val="003572"/>
          <w:lang w:eastAsia="en-US"/>
        </w:rPr>
      </w:pPr>
    </w:p>
    <w:p w14:paraId="44BC71EE" w14:textId="77777777" w:rsidR="00074DB9" w:rsidRPr="00074DB9" w:rsidRDefault="00074DB9" w:rsidP="00074DB9">
      <w:pPr>
        <w:keepNext/>
        <w:spacing w:before="40"/>
      </w:pPr>
      <w:r w:rsidRPr="00074DB9">
        <w:t>Qualification du personnel de maintenance :</w:t>
      </w:r>
    </w:p>
    <w:p w14:paraId="0C6BA35C" w14:textId="11EFDD3A" w:rsidR="00074DB9" w:rsidRPr="00074DB9" w:rsidRDefault="00074DB9" w:rsidP="00074DB9">
      <w:pPr>
        <w:jc w:val="both"/>
      </w:pPr>
      <w:r w:rsidRPr="00074DB9">
        <w:t xml:space="preserve">Le prestataire de maintenance s’engage à faire intervenir un technicien qualifié disposant de l’outillage nécessaire à l’ensemble des opérations et contrôlé par un responsable qualifié qui rédige et remet </w:t>
      </w:r>
      <w:r w:rsidR="00361246">
        <w:t>un rapport d’intervention</w:t>
      </w:r>
      <w:r w:rsidRPr="00074DB9">
        <w:t>.</w:t>
      </w:r>
    </w:p>
    <w:p w14:paraId="1866C97B" w14:textId="77777777" w:rsidR="00074DB9" w:rsidRPr="00074DB9" w:rsidRDefault="00074DB9" w:rsidP="00074DB9">
      <w:pPr>
        <w:jc w:val="both"/>
        <w:rPr>
          <w:color w:val="003572"/>
          <w:lang w:eastAsia="en-US"/>
        </w:rPr>
      </w:pPr>
    </w:p>
    <w:p w14:paraId="192806A5" w14:textId="02CEB18E" w:rsidR="00F4299A" w:rsidRDefault="00F4299A" w:rsidP="00074DB9">
      <w:pPr>
        <w:keepNext/>
        <w:spacing w:before="40"/>
      </w:pPr>
      <w:r>
        <w:t xml:space="preserve">Conditions </w:t>
      </w:r>
      <w:r w:rsidR="00C353E4">
        <w:t xml:space="preserve">et obligations </w:t>
      </w:r>
      <w:r>
        <w:t xml:space="preserve">du service </w:t>
      </w:r>
    </w:p>
    <w:p w14:paraId="1C453F07" w14:textId="22F24F24" w:rsidR="00F4299A" w:rsidRDefault="00F4299A" w:rsidP="00074DB9">
      <w:pPr>
        <w:keepNext/>
        <w:spacing w:before="40"/>
      </w:pPr>
      <w:r>
        <w:t>Il vous est demandé de formuler une note spécifiant la qualification du personnel en fonction des tâches à exécuter dans le cadre de la maintenance des installations du groupe électrogène et de la disponibilité de l’ensemble du matériel requis à l’exécution des travaux de maintenance.</w:t>
      </w:r>
    </w:p>
    <w:p w14:paraId="7E9BA905" w14:textId="77777777" w:rsidR="00F4299A" w:rsidRDefault="00F4299A" w:rsidP="00074DB9">
      <w:pPr>
        <w:keepNext/>
        <w:spacing w:before="40"/>
      </w:pPr>
    </w:p>
    <w:p w14:paraId="3A4C2AFB" w14:textId="0EA98A37" w:rsidR="00074DB9" w:rsidRPr="00074DB9" w:rsidRDefault="00074DB9" w:rsidP="00074DB9">
      <w:pPr>
        <w:keepNext/>
        <w:spacing w:before="40"/>
      </w:pPr>
      <w:r w:rsidRPr="00074DB9">
        <w:t>Conditions techniques d’intervention en maintenance préventive :</w:t>
      </w:r>
    </w:p>
    <w:p w14:paraId="1719BAF9" w14:textId="247D9988" w:rsidR="00074DB9" w:rsidRPr="00074DB9" w:rsidRDefault="00074DB9" w:rsidP="00074DB9">
      <w:pPr>
        <w:jc w:val="both"/>
      </w:pPr>
      <w:r w:rsidRPr="00074DB9">
        <w:t>L</w:t>
      </w:r>
      <w:r w:rsidR="00361246">
        <w:t>a zone côté piste de l</w:t>
      </w:r>
      <w:r w:rsidRPr="00074DB9">
        <w:t>’aérodrome de Koumac étant à accès réglementé, toute intervention de maintenance préventive devra être programmée au moins une semaine à l’avance et sa date devra être préalablement validée par la cheffe de service du Ports et Aérodromes de la province Nord.</w:t>
      </w:r>
    </w:p>
    <w:p w14:paraId="5126A97D" w14:textId="77777777" w:rsidR="00074DB9" w:rsidRPr="00074DB9" w:rsidRDefault="00074DB9" w:rsidP="00074DB9">
      <w:pPr>
        <w:jc w:val="both"/>
      </w:pPr>
      <w:r w:rsidRPr="00074DB9">
        <w:t>Les agents de la société de maintenance devront respecter les consignes de sécurité de l’aérodrome durant tout le temps de leur présence sur les lieux et décliner leur identité à la personne présente pour les recevoir.</w:t>
      </w:r>
    </w:p>
    <w:p w14:paraId="534101BE" w14:textId="77777777" w:rsidR="00074DB9" w:rsidRPr="00074DB9" w:rsidRDefault="00074DB9" w:rsidP="00074DB9">
      <w:pPr>
        <w:jc w:val="both"/>
      </w:pPr>
      <w:bookmarkStart w:id="0" w:name="_Hlk49418892"/>
      <w:r w:rsidRPr="00074DB9">
        <w:t>Chaque intervention préventive fait l’objet d’un compte rendu relatant précisément les opérations réalisées et les pièces éventuellement remplacées et indiquera le temps de fonctionnement du groupe électrogène.</w:t>
      </w:r>
    </w:p>
    <w:p w14:paraId="7FECADFC" w14:textId="77777777" w:rsidR="00074DB9" w:rsidRPr="00074DB9" w:rsidRDefault="00074DB9" w:rsidP="00074DB9">
      <w:pPr>
        <w:jc w:val="both"/>
        <w:rPr>
          <w:color w:val="003572"/>
          <w:lang w:eastAsia="en-US"/>
        </w:rPr>
      </w:pPr>
    </w:p>
    <w:p w14:paraId="35DBA631" w14:textId="3E9418B5" w:rsidR="00074DB9" w:rsidRPr="00074DB9" w:rsidRDefault="00074DB9" w:rsidP="00074DB9">
      <w:pPr>
        <w:keepNext/>
        <w:spacing w:before="40"/>
      </w:pPr>
      <w:r w:rsidRPr="00074DB9">
        <w:t xml:space="preserve">Les opérations à réaliser </w:t>
      </w:r>
      <w:r w:rsidR="00BB14FA">
        <w:t xml:space="preserve">lors de la visite préventive </w:t>
      </w:r>
      <w:r w:rsidR="003177BD">
        <w:t xml:space="preserve">de vidange </w:t>
      </w:r>
      <w:r w:rsidR="00BB14FA">
        <w:t xml:space="preserve">annuelle </w:t>
      </w:r>
      <w:r w:rsidRPr="00074DB9">
        <w:t>sont les suivantes :</w:t>
      </w:r>
    </w:p>
    <w:p w14:paraId="3BE75DB8" w14:textId="77777777" w:rsidR="00074DB9" w:rsidRPr="00074DB9" w:rsidRDefault="00074DB9" w:rsidP="00074DB9">
      <w:pPr>
        <w:ind w:firstLine="360"/>
        <w:jc w:val="both"/>
      </w:pPr>
      <w:r w:rsidRPr="00074DB9">
        <w:t>1- Sur le moteur :</w:t>
      </w:r>
    </w:p>
    <w:p w14:paraId="36032ECA" w14:textId="77777777" w:rsidR="00074DB9" w:rsidRPr="00074DB9" w:rsidRDefault="00074DB9" w:rsidP="00074DB9">
      <w:pPr>
        <w:numPr>
          <w:ilvl w:val="0"/>
          <w:numId w:val="6"/>
        </w:numPr>
        <w:overflowPunct w:val="0"/>
        <w:autoSpaceDE w:val="0"/>
        <w:autoSpaceDN w:val="0"/>
        <w:jc w:val="both"/>
      </w:pPr>
      <w:r w:rsidRPr="00074DB9">
        <w:t>Mise en service du moteur pour échauffement et contrôle,</w:t>
      </w:r>
    </w:p>
    <w:p w14:paraId="3326D825" w14:textId="77777777" w:rsidR="00074DB9" w:rsidRDefault="00074DB9" w:rsidP="00074DB9">
      <w:pPr>
        <w:numPr>
          <w:ilvl w:val="0"/>
          <w:numId w:val="6"/>
        </w:numPr>
        <w:overflowPunct w:val="0"/>
        <w:autoSpaceDE w:val="0"/>
        <w:autoSpaceDN w:val="0"/>
        <w:jc w:val="both"/>
      </w:pPr>
      <w:r w:rsidRPr="00074DB9">
        <w:t>Contrôle des niveaux et appoint si nécessaire (liquide de refroidissement, gazole dans le réservoir journalier, huile de graissage),</w:t>
      </w:r>
    </w:p>
    <w:p w14:paraId="15F2AFD7" w14:textId="77777777" w:rsidR="00BB14FA" w:rsidRPr="00074DB9" w:rsidRDefault="00BB14FA" w:rsidP="00BB14FA">
      <w:pPr>
        <w:numPr>
          <w:ilvl w:val="0"/>
          <w:numId w:val="6"/>
        </w:numPr>
        <w:overflowPunct w:val="0"/>
        <w:autoSpaceDE w:val="0"/>
        <w:autoSpaceDN w:val="0"/>
        <w:jc w:val="both"/>
      </w:pPr>
      <w:r w:rsidRPr="00074DB9">
        <w:t>Vidange de l’huile moteur et changement du filtre à huile,</w:t>
      </w:r>
    </w:p>
    <w:p w14:paraId="1A509B35" w14:textId="77777777" w:rsidR="00BB14FA" w:rsidRPr="00074DB9" w:rsidRDefault="00BB14FA" w:rsidP="00BB14FA">
      <w:pPr>
        <w:numPr>
          <w:ilvl w:val="0"/>
          <w:numId w:val="6"/>
        </w:numPr>
        <w:overflowPunct w:val="0"/>
        <w:autoSpaceDE w:val="0"/>
        <w:autoSpaceDN w:val="0"/>
        <w:jc w:val="both"/>
      </w:pPr>
      <w:r w:rsidRPr="00074DB9">
        <w:t>Changement du filtre à gazole et du filtre à eau,</w:t>
      </w:r>
    </w:p>
    <w:p w14:paraId="3B430A66" w14:textId="3E76B8FF" w:rsidR="00BB14FA" w:rsidRPr="00074DB9" w:rsidRDefault="00BB14FA" w:rsidP="00BB14FA">
      <w:pPr>
        <w:numPr>
          <w:ilvl w:val="0"/>
          <w:numId w:val="6"/>
        </w:numPr>
        <w:overflowPunct w:val="0"/>
        <w:autoSpaceDE w:val="0"/>
        <w:autoSpaceDN w:val="0"/>
        <w:jc w:val="both"/>
      </w:pPr>
      <w:r w:rsidRPr="00074DB9">
        <w:t>Nettoyage ou changement du filtre à air selon l’état et la date de mise en service,</w:t>
      </w:r>
    </w:p>
    <w:p w14:paraId="743ED855" w14:textId="77777777" w:rsidR="00074DB9" w:rsidRPr="00074DB9" w:rsidRDefault="00074DB9" w:rsidP="00074DB9">
      <w:pPr>
        <w:numPr>
          <w:ilvl w:val="0"/>
          <w:numId w:val="6"/>
        </w:numPr>
        <w:overflowPunct w:val="0"/>
        <w:autoSpaceDE w:val="0"/>
        <w:autoSpaceDN w:val="0"/>
        <w:jc w:val="both"/>
      </w:pPr>
      <w:r w:rsidRPr="00074DB9">
        <w:t>Contrôle d’absence de fuites au niveau du moteur, du circuit de refroidissement et du combustible,</w:t>
      </w:r>
    </w:p>
    <w:p w14:paraId="29FE2D5E" w14:textId="77777777" w:rsidR="00074DB9" w:rsidRPr="00074DB9" w:rsidRDefault="00074DB9" w:rsidP="00074DB9">
      <w:pPr>
        <w:numPr>
          <w:ilvl w:val="0"/>
          <w:numId w:val="6"/>
        </w:numPr>
        <w:overflowPunct w:val="0"/>
        <w:autoSpaceDE w:val="0"/>
        <w:autoSpaceDN w:val="0"/>
        <w:jc w:val="both"/>
      </w:pPr>
      <w:r w:rsidRPr="00074DB9">
        <w:t>Contrôle des auxiliaires et de leurs commandes : démarreur, relais, régulateurs, sécurité, batterie, préchauffage alternateur et moteur,</w:t>
      </w:r>
    </w:p>
    <w:p w14:paraId="171F25A0" w14:textId="295375E0" w:rsidR="00074DB9" w:rsidRPr="00074DB9" w:rsidRDefault="00074DB9" w:rsidP="00074DB9">
      <w:pPr>
        <w:numPr>
          <w:ilvl w:val="0"/>
          <w:numId w:val="6"/>
        </w:numPr>
        <w:overflowPunct w:val="0"/>
        <w:autoSpaceDE w:val="0"/>
        <w:autoSpaceDN w:val="0"/>
        <w:jc w:val="both"/>
      </w:pPr>
      <w:r w:rsidRPr="00074DB9">
        <w:t>Contrôle et changement si nécessaire des durits</w:t>
      </w:r>
      <w:r w:rsidR="0046768C">
        <w:t xml:space="preserve">, des </w:t>
      </w:r>
      <w:r w:rsidRPr="00074DB9">
        <w:t>raccords</w:t>
      </w:r>
      <w:r w:rsidR="0046768C">
        <w:t xml:space="preserve"> et des courroies,</w:t>
      </w:r>
    </w:p>
    <w:p w14:paraId="20F320A0" w14:textId="77777777" w:rsidR="00074DB9" w:rsidRPr="00074DB9" w:rsidRDefault="00074DB9" w:rsidP="00074DB9">
      <w:pPr>
        <w:numPr>
          <w:ilvl w:val="0"/>
          <w:numId w:val="6"/>
        </w:numPr>
        <w:overflowPunct w:val="0"/>
        <w:autoSpaceDE w:val="0"/>
        <w:autoSpaceDN w:val="0"/>
        <w:jc w:val="both"/>
      </w:pPr>
      <w:r w:rsidRPr="00074DB9">
        <w:t>Resserrage de la boulonnerie apparente,</w:t>
      </w:r>
    </w:p>
    <w:p w14:paraId="2A376821" w14:textId="77777777" w:rsidR="00074DB9" w:rsidRPr="00074DB9" w:rsidRDefault="00074DB9" w:rsidP="00074DB9">
      <w:pPr>
        <w:numPr>
          <w:ilvl w:val="0"/>
          <w:numId w:val="6"/>
        </w:numPr>
        <w:overflowPunct w:val="0"/>
        <w:autoSpaceDE w:val="0"/>
        <w:autoSpaceDN w:val="0"/>
        <w:jc w:val="both"/>
      </w:pPr>
      <w:r w:rsidRPr="00074DB9">
        <w:t>Contrôle des sécurités motrices mécaniques et électriques,</w:t>
      </w:r>
    </w:p>
    <w:p w14:paraId="2AA270D6" w14:textId="77777777" w:rsidR="00074DB9" w:rsidRPr="00074DB9" w:rsidRDefault="00074DB9" w:rsidP="00074DB9">
      <w:pPr>
        <w:numPr>
          <w:ilvl w:val="0"/>
          <w:numId w:val="6"/>
        </w:numPr>
        <w:overflowPunct w:val="0"/>
        <w:autoSpaceDE w:val="0"/>
        <w:autoSpaceDN w:val="0"/>
        <w:jc w:val="both"/>
      </w:pPr>
      <w:r w:rsidRPr="00074DB9">
        <w:t>Graissage général de l’ensemble : paliers, roulements, commandes et auxiliaires,</w:t>
      </w:r>
    </w:p>
    <w:p w14:paraId="34CF9A15" w14:textId="77777777" w:rsidR="00074DB9" w:rsidRPr="00074DB9" w:rsidRDefault="00074DB9" w:rsidP="00074DB9">
      <w:pPr>
        <w:numPr>
          <w:ilvl w:val="0"/>
          <w:numId w:val="6"/>
        </w:numPr>
        <w:overflowPunct w:val="0"/>
        <w:autoSpaceDE w:val="0"/>
        <w:autoSpaceDN w:val="0"/>
        <w:jc w:val="both"/>
      </w:pPr>
      <w:r w:rsidRPr="00074DB9">
        <w:t>Contrôle du bon fonctionnement de la pompe de transfert de combustible (si existante)</w:t>
      </w:r>
    </w:p>
    <w:p w14:paraId="1B56F764" w14:textId="77777777" w:rsidR="00074DB9" w:rsidRPr="00074DB9" w:rsidRDefault="00074DB9" w:rsidP="00074DB9">
      <w:pPr>
        <w:numPr>
          <w:ilvl w:val="0"/>
          <w:numId w:val="6"/>
        </w:numPr>
        <w:overflowPunct w:val="0"/>
        <w:autoSpaceDE w:val="0"/>
        <w:autoSpaceDN w:val="0"/>
        <w:jc w:val="both"/>
      </w:pPr>
      <w:r w:rsidRPr="00074DB9">
        <w:t>Contrôle de l’échappement,</w:t>
      </w:r>
    </w:p>
    <w:p w14:paraId="725D700C" w14:textId="77777777" w:rsidR="00074DB9" w:rsidRPr="00074DB9" w:rsidRDefault="00074DB9" w:rsidP="00074DB9">
      <w:pPr>
        <w:numPr>
          <w:ilvl w:val="0"/>
          <w:numId w:val="6"/>
        </w:numPr>
        <w:overflowPunct w:val="0"/>
        <w:autoSpaceDE w:val="0"/>
        <w:autoSpaceDN w:val="0"/>
        <w:jc w:val="both"/>
      </w:pPr>
      <w:r w:rsidRPr="00074DB9">
        <w:t>Nettoyage du groupe électrogène,</w:t>
      </w:r>
    </w:p>
    <w:p w14:paraId="05A06975" w14:textId="77777777" w:rsidR="00074DB9" w:rsidRPr="00074DB9" w:rsidRDefault="00074DB9" w:rsidP="00074DB9">
      <w:pPr>
        <w:numPr>
          <w:ilvl w:val="0"/>
          <w:numId w:val="6"/>
        </w:numPr>
        <w:overflowPunct w:val="0"/>
        <w:autoSpaceDE w:val="0"/>
        <w:autoSpaceDN w:val="0"/>
        <w:jc w:val="both"/>
      </w:pPr>
      <w:r w:rsidRPr="00074DB9">
        <w:t>Contrôle de la densité de la batterie,</w:t>
      </w:r>
    </w:p>
    <w:p w14:paraId="75FA72F6" w14:textId="77777777" w:rsidR="00074DB9" w:rsidRPr="00074DB9" w:rsidRDefault="00074DB9" w:rsidP="00074DB9">
      <w:pPr>
        <w:numPr>
          <w:ilvl w:val="0"/>
          <w:numId w:val="6"/>
        </w:numPr>
        <w:overflowPunct w:val="0"/>
        <w:autoSpaceDE w:val="0"/>
        <w:autoSpaceDN w:val="0"/>
        <w:jc w:val="both"/>
      </w:pPr>
      <w:r w:rsidRPr="00074DB9">
        <w:t>Contrôle du régulateur de vitesse</w:t>
      </w:r>
    </w:p>
    <w:p w14:paraId="24192FD2" w14:textId="77777777" w:rsidR="00074DB9" w:rsidRPr="00074DB9" w:rsidRDefault="00074DB9" w:rsidP="00074DB9">
      <w:pPr>
        <w:numPr>
          <w:ilvl w:val="0"/>
          <w:numId w:val="6"/>
        </w:numPr>
        <w:overflowPunct w:val="0"/>
        <w:autoSpaceDE w:val="0"/>
        <w:autoSpaceDN w:val="0"/>
        <w:jc w:val="both"/>
      </w:pPr>
      <w:r w:rsidRPr="00074DB9">
        <w:t>Vérification visuelle de la cuve.</w:t>
      </w:r>
    </w:p>
    <w:p w14:paraId="67F05AB4" w14:textId="43822B18" w:rsidR="00BB14FA" w:rsidRPr="00074DB9" w:rsidRDefault="00074DB9" w:rsidP="00BB14FA">
      <w:pPr>
        <w:overflowPunct w:val="0"/>
        <w:autoSpaceDE w:val="0"/>
        <w:autoSpaceDN w:val="0"/>
        <w:ind w:firstLine="360"/>
        <w:jc w:val="both"/>
        <w:rPr>
          <w:rFonts w:eastAsiaTheme="minorHAnsi"/>
          <w:color w:val="003572"/>
          <w:lang w:eastAsia="en-US"/>
        </w:rPr>
      </w:pPr>
      <w:bookmarkStart w:id="1" w:name="_Hlk49427981"/>
      <w:r w:rsidRPr="00074DB9">
        <w:t xml:space="preserve">2- </w:t>
      </w:r>
      <w:r w:rsidR="00BB14FA" w:rsidRPr="00074DB9">
        <w:t>Sur l’alternateur :</w:t>
      </w:r>
    </w:p>
    <w:p w14:paraId="0AD4951E" w14:textId="77777777" w:rsidR="00BB14FA" w:rsidRPr="00074DB9" w:rsidRDefault="00BB14FA" w:rsidP="00BB14FA">
      <w:pPr>
        <w:numPr>
          <w:ilvl w:val="0"/>
          <w:numId w:val="6"/>
        </w:numPr>
        <w:overflowPunct w:val="0"/>
        <w:autoSpaceDE w:val="0"/>
        <w:autoSpaceDN w:val="0"/>
        <w:jc w:val="both"/>
      </w:pPr>
      <w:r w:rsidRPr="00074DB9">
        <w:t>Contrôle du bon état général</w:t>
      </w:r>
    </w:p>
    <w:p w14:paraId="18695EB1" w14:textId="77777777" w:rsidR="00BB14FA" w:rsidRDefault="00BB14FA" w:rsidP="00BB14FA">
      <w:pPr>
        <w:numPr>
          <w:ilvl w:val="0"/>
          <w:numId w:val="6"/>
        </w:numPr>
        <w:overflowPunct w:val="0"/>
        <w:autoSpaceDE w:val="0"/>
        <w:autoSpaceDN w:val="0"/>
        <w:jc w:val="both"/>
      </w:pPr>
      <w:r w:rsidRPr="00074DB9">
        <w:t>Vérification du câblage et contrôle de connexion stator (puissance alternateur),</w:t>
      </w:r>
    </w:p>
    <w:p w14:paraId="7CCD3828" w14:textId="2A79312B" w:rsidR="00BB14FA" w:rsidRDefault="00BB14FA" w:rsidP="00BB14FA">
      <w:pPr>
        <w:numPr>
          <w:ilvl w:val="0"/>
          <w:numId w:val="6"/>
        </w:numPr>
        <w:overflowPunct w:val="0"/>
        <w:autoSpaceDE w:val="0"/>
        <w:autoSpaceDN w:val="0"/>
        <w:jc w:val="both"/>
      </w:pPr>
      <w:r w:rsidRPr="00074DB9">
        <w:t>Vérification du régulateur de tension (état général et connexion) et réglage si nécessaire</w:t>
      </w:r>
      <w:r>
        <w:t>,</w:t>
      </w:r>
    </w:p>
    <w:p w14:paraId="754C46DB" w14:textId="0FAA1BC1" w:rsidR="00074DB9" w:rsidRPr="00074DB9" w:rsidRDefault="00BB14FA" w:rsidP="00074DB9">
      <w:pPr>
        <w:overflowPunct w:val="0"/>
        <w:autoSpaceDE w:val="0"/>
        <w:autoSpaceDN w:val="0"/>
        <w:ind w:firstLine="360"/>
        <w:jc w:val="both"/>
        <w:rPr>
          <w:rFonts w:eastAsiaTheme="minorHAnsi"/>
        </w:rPr>
      </w:pPr>
      <w:r>
        <w:t>3-</w:t>
      </w:r>
      <w:r w:rsidR="00074DB9" w:rsidRPr="00074DB9">
        <w:t>Sur l’armoire électrique :</w:t>
      </w:r>
    </w:p>
    <w:p w14:paraId="0A4728E9" w14:textId="77777777" w:rsidR="00074DB9" w:rsidRPr="00074DB9" w:rsidRDefault="00074DB9" w:rsidP="00074DB9">
      <w:pPr>
        <w:numPr>
          <w:ilvl w:val="0"/>
          <w:numId w:val="6"/>
        </w:numPr>
        <w:overflowPunct w:val="0"/>
        <w:autoSpaceDE w:val="0"/>
        <w:autoSpaceDN w:val="0"/>
        <w:jc w:val="both"/>
      </w:pPr>
      <w:r w:rsidRPr="00074DB9">
        <w:t>Nettoyage et dépoussiérage,</w:t>
      </w:r>
    </w:p>
    <w:p w14:paraId="66F9351B" w14:textId="77777777" w:rsidR="00074DB9" w:rsidRPr="00074DB9" w:rsidRDefault="00074DB9" w:rsidP="00074DB9">
      <w:pPr>
        <w:numPr>
          <w:ilvl w:val="0"/>
          <w:numId w:val="6"/>
        </w:numPr>
        <w:overflowPunct w:val="0"/>
        <w:autoSpaceDE w:val="0"/>
        <w:autoSpaceDN w:val="0"/>
        <w:jc w:val="both"/>
      </w:pPr>
      <w:r w:rsidRPr="00074DB9">
        <w:t>Vérification des câblages, resserrage des bornes et visserie,</w:t>
      </w:r>
    </w:p>
    <w:p w14:paraId="01772B13" w14:textId="77777777" w:rsidR="00074DB9" w:rsidRPr="00074DB9" w:rsidRDefault="00074DB9" w:rsidP="00074DB9">
      <w:pPr>
        <w:numPr>
          <w:ilvl w:val="0"/>
          <w:numId w:val="6"/>
        </w:numPr>
        <w:overflowPunct w:val="0"/>
        <w:autoSpaceDE w:val="0"/>
        <w:autoSpaceDN w:val="0"/>
        <w:jc w:val="both"/>
      </w:pPr>
      <w:r w:rsidRPr="00074DB9">
        <w:t>Vérification des fusibles et voyants,</w:t>
      </w:r>
    </w:p>
    <w:p w14:paraId="53BC1858" w14:textId="77777777" w:rsidR="00074DB9" w:rsidRPr="00074DB9" w:rsidRDefault="00074DB9" w:rsidP="00074DB9">
      <w:pPr>
        <w:numPr>
          <w:ilvl w:val="0"/>
          <w:numId w:val="6"/>
        </w:numPr>
        <w:overflowPunct w:val="0"/>
        <w:autoSpaceDE w:val="0"/>
        <w:autoSpaceDN w:val="0"/>
        <w:jc w:val="both"/>
      </w:pPr>
      <w:r w:rsidRPr="00074DB9">
        <w:t>Vérification des relais et minuterie/automate (si existants) hors système de couplage (boitier synchro, etc.)</w:t>
      </w:r>
    </w:p>
    <w:p w14:paraId="71FEDAC2" w14:textId="2D3E7392" w:rsidR="00074DB9" w:rsidRPr="00074DB9" w:rsidRDefault="00BB14FA" w:rsidP="00074DB9">
      <w:pPr>
        <w:overflowPunct w:val="0"/>
        <w:autoSpaceDE w:val="0"/>
        <w:autoSpaceDN w:val="0"/>
        <w:ind w:firstLine="360"/>
        <w:jc w:val="both"/>
        <w:rPr>
          <w:rFonts w:eastAsiaTheme="minorHAnsi"/>
        </w:rPr>
      </w:pPr>
      <w:r>
        <w:t>4</w:t>
      </w:r>
      <w:r w:rsidR="00074DB9" w:rsidRPr="00074DB9">
        <w:t>- Essais :</w:t>
      </w:r>
    </w:p>
    <w:p w14:paraId="591B3445" w14:textId="77777777" w:rsidR="00074DB9" w:rsidRPr="00074DB9" w:rsidRDefault="00074DB9" w:rsidP="00074DB9">
      <w:pPr>
        <w:numPr>
          <w:ilvl w:val="0"/>
          <w:numId w:val="6"/>
        </w:numPr>
        <w:overflowPunct w:val="0"/>
        <w:autoSpaceDE w:val="0"/>
        <w:autoSpaceDN w:val="0"/>
        <w:jc w:val="both"/>
      </w:pPr>
      <w:r w:rsidRPr="00074DB9">
        <w:t>Essais du groupe en charge,</w:t>
      </w:r>
    </w:p>
    <w:p w14:paraId="03B11536" w14:textId="77777777" w:rsidR="00074DB9" w:rsidRPr="00074DB9" w:rsidRDefault="00074DB9" w:rsidP="00074DB9">
      <w:pPr>
        <w:numPr>
          <w:ilvl w:val="0"/>
          <w:numId w:val="6"/>
        </w:numPr>
        <w:overflowPunct w:val="0"/>
        <w:autoSpaceDE w:val="0"/>
        <w:autoSpaceDN w:val="0"/>
        <w:jc w:val="both"/>
      </w:pPr>
      <w:r w:rsidRPr="00074DB9">
        <w:t>Vérification du fonctionnement des sécurités et système d’arrêt,</w:t>
      </w:r>
    </w:p>
    <w:p w14:paraId="3B875970" w14:textId="77777777" w:rsidR="00074DB9" w:rsidRPr="00074DB9" w:rsidRDefault="00074DB9" w:rsidP="00074DB9">
      <w:pPr>
        <w:numPr>
          <w:ilvl w:val="0"/>
          <w:numId w:val="6"/>
        </w:numPr>
        <w:overflowPunct w:val="0"/>
        <w:autoSpaceDE w:val="0"/>
        <w:autoSpaceDN w:val="0"/>
        <w:jc w:val="both"/>
      </w:pPr>
      <w:r w:rsidRPr="00074DB9">
        <w:t>Vérification des étanchéités du groupe et/ou auxiliaires</w:t>
      </w:r>
    </w:p>
    <w:p w14:paraId="527EE698" w14:textId="77777777" w:rsidR="00074DB9" w:rsidRPr="00074DB9" w:rsidRDefault="00074DB9" w:rsidP="00074DB9">
      <w:pPr>
        <w:numPr>
          <w:ilvl w:val="0"/>
          <w:numId w:val="6"/>
        </w:numPr>
        <w:overflowPunct w:val="0"/>
        <w:autoSpaceDE w:val="0"/>
        <w:autoSpaceDN w:val="0"/>
        <w:jc w:val="both"/>
      </w:pPr>
      <w:r w:rsidRPr="00074DB9">
        <w:t>Contrôle du circuit électrique</w:t>
      </w:r>
    </w:p>
    <w:p w14:paraId="696124F1" w14:textId="77777777" w:rsidR="00074DB9" w:rsidRPr="00074DB9" w:rsidRDefault="00074DB9" w:rsidP="00074DB9">
      <w:pPr>
        <w:numPr>
          <w:ilvl w:val="0"/>
          <w:numId w:val="6"/>
        </w:numPr>
        <w:overflowPunct w:val="0"/>
        <w:autoSpaceDE w:val="0"/>
        <w:autoSpaceDN w:val="0"/>
        <w:jc w:val="both"/>
      </w:pPr>
      <w:r w:rsidRPr="00074DB9">
        <w:t>Relevé des paramètres de fonctionnement.</w:t>
      </w:r>
    </w:p>
    <w:p w14:paraId="4ED31594" w14:textId="7CEDC7CB" w:rsidR="00074DB9" w:rsidRPr="00074DB9" w:rsidRDefault="00BB14FA" w:rsidP="00074DB9">
      <w:pPr>
        <w:overflowPunct w:val="0"/>
        <w:autoSpaceDE w:val="0"/>
        <w:autoSpaceDN w:val="0"/>
        <w:ind w:left="360"/>
        <w:jc w:val="both"/>
        <w:rPr>
          <w:rFonts w:eastAsiaTheme="minorHAnsi"/>
        </w:rPr>
      </w:pPr>
      <w:r>
        <w:t>5</w:t>
      </w:r>
      <w:r w:rsidR="00074DB9" w:rsidRPr="00074DB9">
        <w:t xml:space="preserve">- Etablissement du compte-rendu et des observations faites ainsi que des réparations effectuées sur </w:t>
      </w:r>
      <w:r w:rsidR="0090095A" w:rsidRPr="00074DB9">
        <w:t>f</w:t>
      </w:r>
      <w:r w:rsidR="0090095A">
        <w:t>iche</w:t>
      </w:r>
      <w:r w:rsidR="0090095A" w:rsidRPr="00074DB9">
        <w:t xml:space="preserve"> </w:t>
      </w:r>
      <w:r w:rsidR="00074DB9" w:rsidRPr="00074DB9">
        <w:t>d</w:t>
      </w:r>
      <w:r w:rsidR="0090095A">
        <w:t>’entretien</w:t>
      </w:r>
      <w:r w:rsidR="00074DB9" w:rsidRPr="00074DB9">
        <w:t xml:space="preserve"> et annotations sur le carnet d’entretien du groupe.</w:t>
      </w:r>
    </w:p>
    <w:bookmarkEnd w:id="0"/>
    <w:bookmarkEnd w:id="1"/>
    <w:p w14:paraId="462276F6" w14:textId="77777777" w:rsidR="003177BD" w:rsidRDefault="003177BD" w:rsidP="00074DB9">
      <w:pPr>
        <w:keepNext/>
        <w:spacing w:before="40"/>
      </w:pPr>
    </w:p>
    <w:p w14:paraId="4FBE20E9" w14:textId="5284A7B4" w:rsidR="00074DB9" w:rsidRPr="00074DB9" w:rsidRDefault="00074DB9" w:rsidP="00074DB9">
      <w:pPr>
        <w:keepNext/>
        <w:spacing w:before="40"/>
      </w:pPr>
      <w:r w:rsidRPr="00074DB9">
        <w:t>Conditions techniques d’intervention curative :</w:t>
      </w:r>
    </w:p>
    <w:p w14:paraId="4C017DA9" w14:textId="77777777" w:rsidR="00074DB9" w:rsidRPr="00074DB9" w:rsidRDefault="00074DB9" w:rsidP="00074DB9">
      <w:pPr>
        <w:jc w:val="both"/>
      </w:pPr>
      <w:r w:rsidRPr="00074DB9">
        <w:t>L’aérodrome de Koumac étant à accès réglementé, toute intervention de maintenance curative devra être signalée à la cheffe du service des Ports et des Aérodromes de la province Nord afin qu’un agent puisse donner l’accès à l’aérodrome.</w:t>
      </w:r>
    </w:p>
    <w:p w14:paraId="703E8F43" w14:textId="77777777" w:rsidR="00074DB9" w:rsidRPr="00074DB9" w:rsidRDefault="00074DB9" w:rsidP="00074DB9">
      <w:pPr>
        <w:jc w:val="both"/>
      </w:pPr>
      <w:r w:rsidRPr="00074DB9">
        <w:t>Chaque intervention curative a pour objet la remise en service (si possible), même provisoire, des équipements ou, à défaut, la prise des mesures conservatoires. Les travaux comportant des fournitures de pièces de rechange, ne seront exécutés qu’après accord écrit du chargé de mission transport.</w:t>
      </w:r>
    </w:p>
    <w:p w14:paraId="2B0AF97F" w14:textId="77777777" w:rsidR="00074DB9" w:rsidRPr="00074DB9" w:rsidRDefault="00074DB9" w:rsidP="00074DB9">
      <w:pPr>
        <w:jc w:val="both"/>
      </w:pPr>
      <w:r w:rsidRPr="00074DB9">
        <w:lastRenderedPageBreak/>
        <w:t>En cas d’extrême urgence, l’intervention fera l’objet d’une confirmation de commande par la signature de la feuille de visite correspondante.</w:t>
      </w:r>
    </w:p>
    <w:p w14:paraId="5F12563A" w14:textId="77777777" w:rsidR="00074DB9" w:rsidRPr="00074DB9" w:rsidRDefault="00074DB9" w:rsidP="00074DB9">
      <w:pPr>
        <w:jc w:val="both"/>
      </w:pPr>
      <w:r w:rsidRPr="00074DB9">
        <w:t>Dans tous les cas, une intervention ne sera déclenchée que sur appel, au numéro d’astreinte de la société de maintenance porté sur le contrat, d’un agent de l’aérodrome ou de son responsable et confirmé par message électronique.</w:t>
      </w:r>
    </w:p>
    <w:p w14:paraId="5D82C7C9" w14:textId="77777777" w:rsidR="00074DB9" w:rsidRPr="00074DB9" w:rsidRDefault="00074DB9" w:rsidP="00074DB9">
      <w:pPr>
        <w:jc w:val="both"/>
        <w:rPr>
          <w:color w:val="003572"/>
          <w:lang w:eastAsia="en-US"/>
        </w:rPr>
      </w:pPr>
    </w:p>
    <w:p w14:paraId="7D374641" w14:textId="46155C04" w:rsidR="00074DB9" w:rsidRPr="00074DB9" w:rsidRDefault="00074DB9" w:rsidP="00074DB9">
      <w:pPr>
        <w:keepNext/>
        <w:spacing w:before="40"/>
      </w:pPr>
      <w:r w:rsidRPr="00074DB9">
        <w:t>Conditions tarifaires :</w:t>
      </w:r>
    </w:p>
    <w:p w14:paraId="4C8F1C74" w14:textId="77777777" w:rsidR="00074DB9" w:rsidRPr="00074DB9" w:rsidRDefault="00074DB9" w:rsidP="00074DB9">
      <w:pPr>
        <w:jc w:val="both"/>
      </w:pPr>
      <w:r w:rsidRPr="00074DB9">
        <w:t>L’offre devra être présentée pour l’aérodrome de Koumac et détailler les coûts suivants :</w:t>
      </w:r>
    </w:p>
    <w:p w14:paraId="29437D43" w14:textId="77777777" w:rsidR="00074DB9" w:rsidRPr="00074DB9" w:rsidRDefault="00074DB9" w:rsidP="00074DB9">
      <w:pPr>
        <w:keepNext/>
        <w:spacing w:before="40"/>
        <w:ind w:firstLine="360"/>
        <w:rPr>
          <w:color w:val="003572"/>
          <w:lang w:eastAsia="en-US"/>
        </w:rPr>
      </w:pPr>
      <w:r w:rsidRPr="00074DB9">
        <w:t>1- Visite préventive </w:t>
      </w:r>
    </w:p>
    <w:p w14:paraId="50E7F8E5" w14:textId="77777777" w:rsidR="00074DB9" w:rsidRPr="00074DB9" w:rsidRDefault="00074DB9" w:rsidP="00074DB9">
      <w:pPr>
        <w:numPr>
          <w:ilvl w:val="0"/>
          <w:numId w:val="7"/>
        </w:numPr>
        <w:overflowPunct w:val="0"/>
        <w:autoSpaceDE w:val="0"/>
        <w:autoSpaceDN w:val="0"/>
        <w:jc w:val="both"/>
      </w:pPr>
      <w:r w:rsidRPr="00074DB9">
        <w:t>Forfait vidange annuelle ou toutes les 250 heures (filtration et lubrifiants inclus)</w:t>
      </w:r>
    </w:p>
    <w:p w14:paraId="6E445516" w14:textId="77777777" w:rsidR="00074DB9" w:rsidRPr="00074DB9" w:rsidRDefault="00074DB9" w:rsidP="00074DB9">
      <w:pPr>
        <w:keepNext/>
        <w:spacing w:before="40"/>
        <w:ind w:firstLine="360"/>
        <w:rPr>
          <w:rFonts w:eastAsiaTheme="minorHAnsi"/>
          <w:color w:val="003572"/>
          <w:lang w:eastAsia="en-US"/>
        </w:rPr>
      </w:pPr>
      <w:r w:rsidRPr="00074DB9">
        <w:t>2- Visite corrective :</w:t>
      </w:r>
    </w:p>
    <w:p w14:paraId="4E811C69" w14:textId="77777777" w:rsidR="00074DB9" w:rsidRPr="00074DB9" w:rsidRDefault="00074DB9" w:rsidP="00074DB9">
      <w:pPr>
        <w:numPr>
          <w:ilvl w:val="0"/>
          <w:numId w:val="7"/>
        </w:numPr>
        <w:overflowPunct w:val="0"/>
        <w:autoSpaceDE w:val="0"/>
        <w:autoSpaceDN w:val="0"/>
        <w:jc w:val="both"/>
      </w:pPr>
      <w:r w:rsidRPr="00074DB9">
        <w:t>Forfait déplacement heures ouvrées</w:t>
      </w:r>
    </w:p>
    <w:p w14:paraId="4A2BC5E1" w14:textId="77777777" w:rsidR="00074DB9" w:rsidRPr="00074DB9" w:rsidRDefault="00074DB9" w:rsidP="00074DB9">
      <w:pPr>
        <w:numPr>
          <w:ilvl w:val="0"/>
          <w:numId w:val="7"/>
        </w:numPr>
        <w:overflowPunct w:val="0"/>
        <w:autoSpaceDE w:val="0"/>
        <w:autoSpaceDN w:val="0"/>
        <w:jc w:val="both"/>
      </w:pPr>
      <w:r w:rsidRPr="00074DB9">
        <w:t>Tarif horaire heures ouvrées</w:t>
      </w:r>
    </w:p>
    <w:p w14:paraId="0C532B7F" w14:textId="77777777" w:rsidR="00074DB9" w:rsidRPr="00074DB9" w:rsidRDefault="00074DB9" w:rsidP="00074DB9">
      <w:pPr>
        <w:numPr>
          <w:ilvl w:val="0"/>
          <w:numId w:val="7"/>
        </w:numPr>
        <w:overflowPunct w:val="0"/>
        <w:autoSpaceDE w:val="0"/>
        <w:autoSpaceDN w:val="0"/>
        <w:jc w:val="both"/>
      </w:pPr>
      <w:r w:rsidRPr="00074DB9">
        <w:t>Forfait déplacement heures non ouvrées</w:t>
      </w:r>
    </w:p>
    <w:p w14:paraId="4BDA26DC" w14:textId="54763AD3" w:rsidR="00EF18B4" w:rsidRPr="00380354" w:rsidRDefault="00074DB9" w:rsidP="00074DB9">
      <w:pPr>
        <w:numPr>
          <w:ilvl w:val="0"/>
          <w:numId w:val="7"/>
        </w:numPr>
        <w:overflowPunct w:val="0"/>
        <w:autoSpaceDE w:val="0"/>
        <w:autoSpaceDN w:val="0"/>
        <w:jc w:val="both"/>
      </w:pPr>
      <w:r w:rsidRPr="00074DB9">
        <w:t>Tarif horaire heures non ouvrées</w:t>
      </w:r>
    </w:p>
    <w:p w14:paraId="0B11AD1A" w14:textId="77777777" w:rsidR="00EF18B4" w:rsidRPr="00380354" w:rsidRDefault="00EF18B4" w:rsidP="00EF18B4">
      <w:pPr>
        <w:keepNext/>
        <w:spacing w:before="40"/>
      </w:pPr>
      <w:r w:rsidRPr="00380354">
        <w:t>Facturation</w:t>
      </w:r>
    </w:p>
    <w:p w14:paraId="402A767E" w14:textId="205854CD" w:rsidR="00EF18B4" w:rsidRPr="00380354" w:rsidRDefault="00EF18B4" w:rsidP="00EF18B4">
      <w:pPr>
        <w:keepNext/>
        <w:spacing w:before="40"/>
        <w:ind w:left="360"/>
      </w:pPr>
      <w:r w:rsidRPr="00380354">
        <w:t xml:space="preserve">Les factures seront transmises après </w:t>
      </w:r>
      <w:r w:rsidR="00BB14FA">
        <w:t>l’</w:t>
      </w:r>
      <w:r w:rsidRPr="00380354">
        <w:t>intervention accompagnée d</w:t>
      </w:r>
      <w:r w:rsidR="00BB14FA">
        <w:t xml:space="preserve">e la fiche d’entretien et du rapport des dysfonctionnements constatés si nécessaire, </w:t>
      </w:r>
      <w:r w:rsidRPr="00380354">
        <w:t>au nom du destinataire suivant :</w:t>
      </w:r>
    </w:p>
    <w:p w14:paraId="38109485" w14:textId="77777777" w:rsidR="00EF18B4" w:rsidRPr="00380354" w:rsidRDefault="00EF18B4" w:rsidP="00EF18B4">
      <w:pPr>
        <w:keepNext/>
        <w:spacing w:before="40"/>
        <w:ind w:left="360"/>
      </w:pPr>
      <w:r w:rsidRPr="00380354">
        <w:t>PROVINCE NORD – Direction de l’Aménagement et du Foncier – Service des ports et aérodromes – BP41 98860 KONE</w:t>
      </w:r>
    </w:p>
    <w:p w14:paraId="6F1E7680" w14:textId="77777777" w:rsidR="00EF18B4" w:rsidRPr="00380354" w:rsidRDefault="00EF18B4" w:rsidP="00EF18B4">
      <w:pPr>
        <w:keepNext/>
        <w:spacing w:before="40"/>
        <w:ind w:left="360"/>
      </w:pPr>
      <w:r w:rsidRPr="00380354">
        <w:t xml:space="preserve">Elles préciseront la date et le lieu de l’intervention : </w:t>
      </w:r>
    </w:p>
    <w:p w14:paraId="7EA495F3" w14:textId="77777777" w:rsidR="00EF18B4" w:rsidRPr="00380354" w:rsidRDefault="00EF18B4" w:rsidP="00EF18B4">
      <w:pPr>
        <w:keepNext/>
        <w:numPr>
          <w:ilvl w:val="0"/>
          <w:numId w:val="4"/>
        </w:numPr>
        <w:spacing w:before="40"/>
      </w:pPr>
      <w:r w:rsidRPr="00380354">
        <w:t>Aérodrome de KOUMAC</w:t>
      </w:r>
    </w:p>
    <w:p w14:paraId="0B198DBB" w14:textId="77777777" w:rsidR="00EF18B4" w:rsidRPr="00380354" w:rsidRDefault="00EF18B4" w:rsidP="00EF18B4">
      <w:pPr>
        <w:keepNext/>
        <w:spacing w:before="40"/>
      </w:pPr>
    </w:p>
    <w:p w14:paraId="6E5EFB8C" w14:textId="77777777" w:rsidR="00EF18B4" w:rsidRPr="00380354" w:rsidRDefault="00EF18B4" w:rsidP="00EF18B4">
      <w:pPr>
        <w:keepNext/>
        <w:spacing w:before="40"/>
      </w:pPr>
      <w:r w:rsidRPr="00380354">
        <w:t>Révision de prix</w:t>
      </w:r>
    </w:p>
    <w:p w14:paraId="4CE5280A" w14:textId="77777777" w:rsidR="00EF18B4" w:rsidRPr="00380354" w:rsidRDefault="00EF18B4" w:rsidP="00EF18B4">
      <w:pPr>
        <w:ind w:left="360"/>
        <w:jc w:val="both"/>
      </w:pPr>
      <w:r w:rsidRPr="00380354">
        <w:t>La formule de révision des prix à appliquer ainsi que les valeurs des indices de référence connues à la date de l’établissement du contrat seront aussi indiquées dans l’offre. Le coefficient de révision des prix sera arrondi au 1/1000ème.</w:t>
      </w:r>
    </w:p>
    <w:p w14:paraId="0E3DDCFB" w14:textId="77777777" w:rsidR="00EF18B4" w:rsidRPr="00380354" w:rsidRDefault="00EF18B4" w:rsidP="00EF18B4">
      <w:pPr>
        <w:ind w:left="360"/>
        <w:jc w:val="both"/>
      </w:pPr>
    </w:p>
    <w:p w14:paraId="76533863" w14:textId="77777777" w:rsidR="00EF18B4" w:rsidRPr="00380354" w:rsidRDefault="00EF18B4" w:rsidP="00EF18B4">
      <w:pPr>
        <w:keepNext/>
        <w:spacing w:before="40"/>
      </w:pPr>
      <w:r w:rsidRPr="00380354">
        <w:t xml:space="preserve">Critères de jugement des offres </w:t>
      </w:r>
    </w:p>
    <w:p w14:paraId="71A7186F" w14:textId="77777777" w:rsidR="00EF18B4" w:rsidRPr="00380354" w:rsidRDefault="00EF18B4" w:rsidP="00EF18B4">
      <w:pPr>
        <w:ind w:left="360"/>
        <w:jc w:val="both"/>
      </w:pPr>
      <w:r w:rsidRPr="00380354">
        <w:t>Les offres seront classées selon les critères suivants :</w:t>
      </w:r>
    </w:p>
    <w:p w14:paraId="32615EE0" w14:textId="4ADB6BB9" w:rsidR="00EF18B4" w:rsidRPr="00380354" w:rsidRDefault="005C53EE" w:rsidP="00EF18B4">
      <w:pPr>
        <w:numPr>
          <w:ilvl w:val="0"/>
          <w:numId w:val="5"/>
        </w:numPr>
        <w:overflowPunct w:val="0"/>
        <w:autoSpaceDE w:val="0"/>
        <w:autoSpaceDN w:val="0"/>
        <w:contextualSpacing/>
        <w:jc w:val="both"/>
      </w:pPr>
      <w:r>
        <w:t>6</w:t>
      </w:r>
      <w:r w:rsidR="00EF18B4" w:rsidRPr="00380354">
        <w:t xml:space="preserve">0% sur les tarifs proposés </w:t>
      </w:r>
      <w:r w:rsidR="00F6684B">
        <w:t>pour l’aérodrome de Koumac</w:t>
      </w:r>
      <w:r w:rsidR="00EF18B4" w:rsidRPr="00380354">
        <w:t xml:space="preserve">, sur la base </w:t>
      </w:r>
      <w:r w:rsidR="00074DB9">
        <w:t>des forfaits</w:t>
      </w:r>
      <w:r w:rsidR="00F6684B">
        <w:t xml:space="preserve"> pour l</w:t>
      </w:r>
      <w:r w:rsidR="00BB14FA">
        <w:t xml:space="preserve">a </w:t>
      </w:r>
      <w:r w:rsidR="00F6684B">
        <w:t>visite préventive</w:t>
      </w:r>
      <w:r w:rsidR="00BB14FA">
        <w:t xml:space="preserve"> </w:t>
      </w:r>
      <w:r w:rsidR="00F6684B">
        <w:t xml:space="preserve">annuelle, ainsi que les forfaits </w:t>
      </w:r>
      <w:r w:rsidR="00074DB9">
        <w:t>et tarifs horaires</w:t>
      </w:r>
      <w:r w:rsidR="00F6684B">
        <w:t xml:space="preserve"> le cas échéant pour une visite corrective</w:t>
      </w:r>
      <w:r w:rsidR="00EF18B4" w:rsidRPr="00380354">
        <w:t xml:space="preserve">, </w:t>
      </w:r>
    </w:p>
    <w:p w14:paraId="771342C5" w14:textId="191D59F0" w:rsidR="00EF18B4" w:rsidRDefault="005C53EE" w:rsidP="00EF18B4">
      <w:pPr>
        <w:numPr>
          <w:ilvl w:val="0"/>
          <w:numId w:val="5"/>
        </w:numPr>
        <w:overflowPunct w:val="0"/>
        <w:autoSpaceDE w:val="0"/>
        <w:autoSpaceDN w:val="0"/>
        <w:contextualSpacing/>
        <w:jc w:val="both"/>
      </w:pPr>
      <w:r>
        <w:t>4</w:t>
      </w:r>
      <w:r w:rsidR="00EF18B4" w:rsidRPr="00380354">
        <w:t>0% sur la qualité technique des interventions (</w:t>
      </w:r>
      <w:bookmarkStart w:id="2" w:name="_Hlk205795707"/>
      <w:r w:rsidR="00074DB9">
        <w:t xml:space="preserve">mode opératoire des travaux de maintenance, </w:t>
      </w:r>
      <w:r w:rsidR="00EF18B4" w:rsidRPr="00380354">
        <w:t xml:space="preserve">qualification des intervenants, </w:t>
      </w:r>
      <w:r w:rsidR="00074DB9">
        <w:t>disponibilité de l’ensemble du matériel requis à l’exécution des travaux de maintenance</w:t>
      </w:r>
      <w:bookmarkEnd w:id="2"/>
      <w:r w:rsidR="00EF18B4" w:rsidRPr="00380354">
        <w:t>).</w:t>
      </w:r>
    </w:p>
    <w:p w14:paraId="5BD3E027" w14:textId="77777777" w:rsidR="00074DB9" w:rsidRDefault="00074DB9" w:rsidP="00EF18B4">
      <w:pPr>
        <w:overflowPunct w:val="0"/>
        <w:autoSpaceDE w:val="0"/>
        <w:autoSpaceDN w:val="0"/>
        <w:contextualSpacing/>
        <w:jc w:val="both"/>
      </w:pPr>
    </w:p>
    <w:p w14:paraId="2FAD742F" w14:textId="6EB12F34" w:rsidR="004B5076" w:rsidRDefault="004B5076" w:rsidP="00EF18B4">
      <w:pPr>
        <w:overflowPunct w:val="0"/>
        <w:autoSpaceDE w:val="0"/>
        <w:autoSpaceDN w:val="0"/>
        <w:contextualSpacing/>
        <w:jc w:val="both"/>
      </w:pPr>
    </w:p>
    <w:sectPr w:rsidR="004B5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994"/>
    <w:multiLevelType w:val="hybridMultilevel"/>
    <w:tmpl w:val="16307418"/>
    <w:lvl w:ilvl="0" w:tplc="932474E0">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34758FE"/>
    <w:multiLevelType w:val="hybridMultilevel"/>
    <w:tmpl w:val="C5001CE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0B6E3C2F"/>
    <w:multiLevelType w:val="hybridMultilevel"/>
    <w:tmpl w:val="2D72EA76"/>
    <w:lvl w:ilvl="0" w:tplc="A8B0EA4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1C14F02"/>
    <w:multiLevelType w:val="hybridMultilevel"/>
    <w:tmpl w:val="92B228B4"/>
    <w:lvl w:ilvl="0" w:tplc="AA18E032">
      <w:numFmt w:val="bullet"/>
      <w:lvlText w:val="-"/>
      <w:lvlJc w:val="left"/>
      <w:pPr>
        <w:ind w:left="1440" w:hanging="360"/>
      </w:pPr>
      <w:rPr>
        <w:rFonts w:ascii="Calibri" w:eastAsia="Aptos"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223C016C"/>
    <w:multiLevelType w:val="hybridMultilevel"/>
    <w:tmpl w:val="A0EAA082"/>
    <w:lvl w:ilvl="0" w:tplc="67FE1882">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5" w15:restartNumberingAfterBreak="0">
    <w:nsid w:val="4C1C0FAE"/>
    <w:multiLevelType w:val="hybridMultilevel"/>
    <w:tmpl w:val="E7985F28"/>
    <w:lvl w:ilvl="0" w:tplc="AA18E032">
      <w:numFmt w:val="bullet"/>
      <w:lvlText w:val="-"/>
      <w:lvlJc w:val="left"/>
      <w:pPr>
        <w:ind w:left="1440" w:hanging="360"/>
      </w:pPr>
      <w:rPr>
        <w:rFonts w:ascii="Calibri" w:eastAsia="Aptos" w:hAnsi="Calibri" w:cs="Calibri"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78790B14"/>
    <w:multiLevelType w:val="hybridMultilevel"/>
    <w:tmpl w:val="B5E2418A"/>
    <w:lvl w:ilvl="0" w:tplc="040C0001">
      <w:start w:val="1"/>
      <w:numFmt w:val="bullet"/>
      <w:lvlText w:val=""/>
      <w:lvlJc w:val="left"/>
      <w:pPr>
        <w:ind w:left="2190" w:hanging="360"/>
      </w:pPr>
      <w:rPr>
        <w:rFonts w:ascii="Symbol" w:hAnsi="Symbol" w:hint="default"/>
      </w:rPr>
    </w:lvl>
    <w:lvl w:ilvl="1" w:tplc="040C0003">
      <w:start w:val="1"/>
      <w:numFmt w:val="bullet"/>
      <w:lvlText w:val="o"/>
      <w:lvlJc w:val="left"/>
      <w:pPr>
        <w:ind w:left="2910" w:hanging="360"/>
      </w:pPr>
      <w:rPr>
        <w:rFonts w:ascii="Courier New" w:hAnsi="Courier New" w:cs="Courier New" w:hint="default"/>
      </w:rPr>
    </w:lvl>
    <w:lvl w:ilvl="2" w:tplc="040C0005">
      <w:start w:val="1"/>
      <w:numFmt w:val="bullet"/>
      <w:lvlText w:val=""/>
      <w:lvlJc w:val="left"/>
      <w:pPr>
        <w:ind w:left="3630" w:hanging="360"/>
      </w:pPr>
      <w:rPr>
        <w:rFonts w:ascii="Wingdings" w:hAnsi="Wingdings" w:hint="default"/>
      </w:rPr>
    </w:lvl>
    <w:lvl w:ilvl="3" w:tplc="040C0001">
      <w:start w:val="1"/>
      <w:numFmt w:val="bullet"/>
      <w:lvlText w:val=""/>
      <w:lvlJc w:val="left"/>
      <w:pPr>
        <w:ind w:left="4350" w:hanging="360"/>
      </w:pPr>
      <w:rPr>
        <w:rFonts w:ascii="Symbol" w:hAnsi="Symbol" w:hint="default"/>
      </w:rPr>
    </w:lvl>
    <w:lvl w:ilvl="4" w:tplc="040C0003">
      <w:start w:val="1"/>
      <w:numFmt w:val="bullet"/>
      <w:lvlText w:val="o"/>
      <w:lvlJc w:val="left"/>
      <w:pPr>
        <w:ind w:left="5070" w:hanging="360"/>
      </w:pPr>
      <w:rPr>
        <w:rFonts w:ascii="Courier New" w:hAnsi="Courier New" w:cs="Courier New" w:hint="default"/>
      </w:rPr>
    </w:lvl>
    <w:lvl w:ilvl="5" w:tplc="040C0005">
      <w:start w:val="1"/>
      <w:numFmt w:val="bullet"/>
      <w:lvlText w:val=""/>
      <w:lvlJc w:val="left"/>
      <w:pPr>
        <w:ind w:left="5790" w:hanging="360"/>
      </w:pPr>
      <w:rPr>
        <w:rFonts w:ascii="Wingdings" w:hAnsi="Wingdings" w:hint="default"/>
      </w:rPr>
    </w:lvl>
    <w:lvl w:ilvl="6" w:tplc="040C0001">
      <w:start w:val="1"/>
      <w:numFmt w:val="bullet"/>
      <w:lvlText w:val=""/>
      <w:lvlJc w:val="left"/>
      <w:pPr>
        <w:ind w:left="6510" w:hanging="360"/>
      </w:pPr>
      <w:rPr>
        <w:rFonts w:ascii="Symbol" w:hAnsi="Symbol" w:hint="default"/>
      </w:rPr>
    </w:lvl>
    <w:lvl w:ilvl="7" w:tplc="040C0003">
      <w:start w:val="1"/>
      <w:numFmt w:val="bullet"/>
      <w:lvlText w:val="o"/>
      <w:lvlJc w:val="left"/>
      <w:pPr>
        <w:ind w:left="7230" w:hanging="360"/>
      </w:pPr>
      <w:rPr>
        <w:rFonts w:ascii="Courier New" w:hAnsi="Courier New" w:cs="Courier New" w:hint="default"/>
      </w:rPr>
    </w:lvl>
    <w:lvl w:ilvl="8" w:tplc="040C0005">
      <w:start w:val="1"/>
      <w:numFmt w:val="bullet"/>
      <w:lvlText w:val=""/>
      <w:lvlJc w:val="left"/>
      <w:pPr>
        <w:ind w:left="7950" w:hanging="360"/>
      </w:pPr>
      <w:rPr>
        <w:rFonts w:ascii="Wingdings" w:hAnsi="Wingdings" w:hint="default"/>
      </w:rPr>
    </w:lvl>
  </w:abstractNum>
  <w:num w:numId="1" w16cid:durableId="115609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621463">
    <w:abstractNumId w:val="3"/>
  </w:num>
  <w:num w:numId="3" w16cid:durableId="2530496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442060">
    <w:abstractNumId w:val="1"/>
  </w:num>
  <w:num w:numId="5" w16cid:durableId="1905679270">
    <w:abstractNumId w:val="6"/>
  </w:num>
  <w:num w:numId="6" w16cid:durableId="1938324154">
    <w:abstractNumId w:val="0"/>
  </w:num>
  <w:num w:numId="7" w16cid:durableId="83977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F5"/>
    <w:rsid w:val="0000749D"/>
    <w:rsid w:val="00074DB9"/>
    <w:rsid w:val="001810FA"/>
    <w:rsid w:val="00276C22"/>
    <w:rsid w:val="00305606"/>
    <w:rsid w:val="003177BD"/>
    <w:rsid w:val="00322CA8"/>
    <w:rsid w:val="003414AA"/>
    <w:rsid w:val="00344411"/>
    <w:rsid w:val="00361246"/>
    <w:rsid w:val="003B1315"/>
    <w:rsid w:val="00443051"/>
    <w:rsid w:val="0046768C"/>
    <w:rsid w:val="004B5076"/>
    <w:rsid w:val="0053181C"/>
    <w:rsid w:val="005C53EE"/>
    <w:rsid w:val="00706C5D"/>
    <w:rsid w:val="0076173B"/>
    <w:rsid w:val="007A0413"/>
    <w:rsid w:val="00852AF5"/>
    <w:rsid w:val="00884E98"/>
    <w:rsid w:val="0090095A"/>
    <w:rsid w:val="009251F6"/>
    <w:rsid w:val="009318ED"/>
    <w:rsid w:val="00985CED"/>
    <w:rsid w:val="00AB5AC0"/>
    <w:rsid w:val="00BB14FA"/>
    <w:rsid w:val="00C353E4"/>
    <w:rsid w:val="00D05CA1"/>
    <w:rsid w:val="00D67A63"/>
    <w:rsid w:val="00EA2C96"/>
    <w:rsid w:val="00EF18B4"/>
    <w:rsid w:val="00F4067F"/>
    <w:rsid w:val="00F4299A"/>
    <w:rsid w:val="00F42C29"/>
    <w:rsid w:val="00F47DA5"/>
    <w:rsid w:val="00F668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9851"/>
  <w15:chartTrackingRefBased/>
  <w15:docId w15:val="{D88A63CC-C2CB-4DF3-9FBE-50657006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B4"/>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852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2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852AF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2AF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2AF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2AF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2AF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2AF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2AF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2AF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2AF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2AF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2AF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2AF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2A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2A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2A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2AF5"/>
    <w:rPr>
      <w:rFonts w:eastAsiaTheme="majorEastAsia" w:cstheme="majorBidi"/>
      <w:color w:val="272727" w:themeColor="text1" w:themeTint="D8"/>
    </w:rPr>
  </w:style>
  <w:style w:type="paragraph" w:styleId="Titre">
    <w:name w:val="Title"/>
    <w:basedOn w:val="Normal"/>
    <w:next w:val="Normal"/>
    <w:link w:val="TitreCar"/>
    <w:uiPriority w:val="10"/>
    <w:qFormat/>
    <w:rsid w:val="00852AF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2A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852AF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852A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2AF5"/>
    <w:pPr>
      <w:spacing w:before="160"/>
      <w:jc w:val="center"/>
    </w:pPr>
    <w:rPr>
      <w:i/>
      <w:iCs/>
      <w:color w:val="404040" w:themeColor="text1" w:themeTint="BF"/>
    </w:rPr>
  </w:style>
  <w:style w:type="character" w:customStyle="1" w:styleId="CitationCar">
    <w:name w:val="Citation Car"/>
    <w:basedOn w:val="Policepardfaut"/>
    <w:link w:val="Citation"/>
    <w:uiPriority w:val="29"/>
    <w:rsid w:val="00852AF5"/>
    <w:rPr>
      <w:i/>
      <w:iCs/>
      <w:color w:val="404040" w:themeColor="text1" w:themeTint="BF"/>
    </w:rPr>
  </w:style>
  <w:style w:type="paragraph" w:styleId="Paragraphedeliste">
    <w:name w:val="List Paragraph"/>
    <w:basedOn w:val="Normal"/>
    <w:uiPriority w:val="34"/>
    <w:qFormat/>
    <w:rsid w:val="00852AF5"/>
    <w:pPr>
      <w:ind w:left="720"/>
      <w:contextualSpacing/>
    </w:pPr>
  </w:style>
  <w:style w:type="character" w:styleId="Accentuationintense">
    <w:name w:val="Intense Emphasis"/>
    <w:basedOn w:val="Policepardfaut"/>
    <w:uiPriority w:val="21"/>
    <w:qFormat/>
    <w:rsid w:val="00852AF5"/>
    <w:rPr>
      <w:i/>
      <w:iCs/>
      <w:color w:val="0F4761" w:themeColor="accent1" w:themeShade="BF"/>
    </w:rPr>
  </w:style>
  <w:style w:type="paragraph" w:styleId="Citationintense">
    <w:name w:val="Intense Quote"/>
    <w:basedOn w:val="Normal"/>
    <w:next w:val="Normal"/>
    <w:link w:val="CitationintenseCar"/>
    <w:uiPriority w:val="30"/>
    <w:qFormat/>
    <w:rsid w:val="00852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2AF5"/>
    <w:rPr>
      <w:i/>
      <w:iCs/>
      <w:color w:val="0F4761" w:themeColor="accent1" w:themeShade="BF"/>
    </w:rPr>
  </w:style>
  <w:style w:type="character" w:styleId="Rfrenceintense">
    <w:name w:val="Intense Reference"/>
    <w:basedOn w:val="Policepardfaut"/>
    <w:uiPriority w:val="32"/>
    <w:qFormat/>
    <w:rsid w:val="00852AF5"/>
    <w:rPr>
      <w:b/>
      <w:bCs/>
      <w:smallCaps/>
      <w:color w:val="0F4761" w:themeColor="accent1" w:themeShade="BF"/>
      <w:spacing w:val="5"/>
    </w:rPr>
  </w:style>
  <w:style w:type="paragraph" w:styleId="En-tte">
    <w:name w:val="header"/>
    <w:basedOn w:val="Normal"/>
    <w:link w:val="En-tteCar"/>
    <w:rsid w:val="00EF18B4"/>
    <w:pPr>
      <w:tabs>
        <w:tab w:val="center" w:pos="4536"/>
        <w:tab w:val="right" w:pos="9072"/>
      </w:tabs>
    </w:pPr>
  </w:style>
  <w:style w:type="character" w:customStyle="1" w:styleId="En-tteCar">
    <w:name w:val="En-tête Car"/>
    <w:basedOn w:val="Policepardfaut"/>
    <w:link w:val="En-tte"/>
    <w:rsid w:val="00EF18B4"/>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rsid w:val="00EF18B4"/>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C53EE"/>
    <w:pPr>
      <w:spacing w:after="0" w:line="240" w:lineRule="auto"/>
    </w:pPr>
    <w:rPr>
      <w:rFonts w:ascii="Times New Roman" w:eastAsia="Times New Roman" w:hAnsi="Times New Roman" w:cs="Times New Roman"/>
      <w:kern w:val="0"/>
      <w:sz w:val="24"/>
      <w:szCs w:val="24"/>
      <w:lang w:eastAsia="fr-FR"/>
      <w14:ligatures w14:val="none"/>
    </w:rPr>
  </w:style>
  <w:style w:type="character" w:styleId="Marquedecommentaire">
    <w:name w:val="annotation reference"/>
    <w:basedOn w:val="Policepardfaut"/>
    <w:uiPriority w:val="99"/>
    <w:semiHidden/>
    <w:unhideWhenUsed/>
    <w:rsid w:val="005C53EE"/>
    <w:rPr>
      <w:sz w:val="16"/>
      <w:szCs w:val="16"/>
    </w:rPr>
  </w:style>
  <w:style w:type="paragraph" w:styleId="Commentaire">
    <w:name w:val="annotation text"/>
    <w:basedOn w:val="Normal"/>
    <w:link w:val="CommentaireCar"/>
    <w:uiPriority w:val="99"/>
    <w:unhideWhenUsed/>
    <w:rsid w:val="005C53EE"/>
    <w:rPr>
      <w:sz w:val="20"/>
      <w:szCs w:val="20"/>
    </w:rPr>
  </w:style>
  <w:style w:type="character" w:customStyle="1" w:styleId="CommentaireCar">
    <w:name w:val="Commentaire Car"/>
    <w:basedOn w:val="Policepardfaut"/>
    <w:link w:val="Commentaire"/>
    <w:uiPriority w:val="99"/>
    <w:rsid w:val="005C53EE"/>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5C53EE"/>
    <w:rPr>
      <w:b/>
      <w:bCs/>
    </w:rPr>
  </w:style>
  <w:style w:type="character" w:customStyle="1" w:styleId="ObjetducommentaireCar">
    <w:name w:val="Objet du commentaire Car"/>
    <w:basedOn w:val="CommentaireCar"/>
    <w:link w:val="Objetducommentaire"/>
    <w:uiPriority w:val="99"/>
    <w:semiHidden/>
    <w:rsid w:val="005C53EE"/>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FERRAND Richard</dc:creator>
  <cp:keywords/>
  <dc:description/>
  <cp:lastModifiedBy>FERRAND Richard</cp:lastModifiedBy>
  <cp:revision>2</cp:revision>
  <dcterms:created xsi:type="dcterms:W3CDTF">2025-08-10T22:20:00Z</dcterms:created>
  <dcterms:modified xsi:type="dcterms:W3CDTF">2025-08-10T22:20:00Z</dcterms:modified>
</cp:coreProperties>
</file>